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</w:tblGrid>
      <w:tr w:rsidR="00232761" w:rsidRPr="00E26254" w:rsidTr="006626B7">
        <w:trPr>
          <w:trHeight w:val="255"/>
        </w:trPr>
        <w:tc>
          <w:tcPr>
            <w:tcW w:w="15308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9E203A">
              <w:rPr>
                <w:rFonts w:ascii="Times New Roman" w:hAnsi="Times New Roman" w:cs="Times New Roman"/>
              </w:rPr>
              <w:t>ых предложений (объявление от 04 янва</w:t>
            </w:r>
            <w:r w:rsidR="00433B8F">
              <w:rPr>
                <w:rFonts w:ascii="Times New Roman" w:hAnsi="Times New Roman" w:cs="Times New Roman"/>
              </w:rPr>
              <w:t>ря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15 январ</w:t>
            </w:r>
            <w:r w:rsidR="00433B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AD3721">
              <w:rPr>
                <w:rFonts w:ascii="Times New Roman" w:hAnsi="Times New Roman" w:cs="Times New Roman"/>
              </w:rPr>
              <w:t>1</w:t>
            </w:r>
            <w:r w:rsidR="009E203A">
              <w:rPr>
                <w:rFonts w:ascii="Times New Roman" w:hAnsi="Times New Roman" w:cs="Times New Roman"/>
              </w:rPr>
              <w:t>1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01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8"/>
              <w:gridCol w:w="2978"/>
            </w:tblGrid>
            <w:tr w:rsidR="00232761" w:rsidRPr="007628C6" w:rsidTr="00C01088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5246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C01088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C42D3B" w:rsidRPr="008130BE" w:rsidRDefault="009E203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«МЕГА-ПЛЮС»</w:t>
                  </w:r>
                </w:p>
              </w:tc>
              <w:tc>
                <w:tcPr>
                  <w:tcW w:w="5103" w:type="dxa"/>
                </w:tcPr>
                <w:p w:rsidR="00C42D3B" w:rsidRPr="008130BE" w:rsidRDefault="009E203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ул.Камзина 72/1</w:t>
                  </w:r>
                </w:p>
              </w:tc>
              <w:tc>
                <w:tcPr>
                  <w:tcW w:w="2268" w:type="dxa"/>
                  <w:vAlign w:val="center"/>
                </w:tcPr>
                <w:p w:rsidR="00C42D3B" w:rsidRDefault="009E203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C42D3B" w:rsidRDefault="009E203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14.50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1134"/>
              <w:gridCol w:w="1559"/>
              <w:gridCol w:w="2693"/>
              <w:gridCol w:w="4111"/>
            </w:tblGrid>
            <w:tr w:rsidR="00AD3721" w:rsidRPr="004C6E24" w:rsidTr="00B5358F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AD3721" w:rsidRPr="004C6E24" w:rsidRDefault="00AD3721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962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4111" w:type="dxa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AD3721" w:rsidRPr="004C6E24" w:rsidTr="00B5358F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AD3721" w:rsidRPr="004C6E24" w:rsidRDefault="00AD3721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AD3721" w:rsidRDefault="00B5358F" w:rsidP="008224ED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«МЕГА-ПЛЮС»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r>
                    <w:t xml:space="preserve">Уксусная кислота </w:t>
                  </w:r>
                  <w:r>
                    <w:rPr>
                      <w:sz w:val="18"/>
                      <w:szCs w:val="16"/>
                    </w:rPr>
                    <w:t>3% 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5 820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480</w:t>
                  </w:r>
                </w:p>
              </w:tc>
            </w:tr>
            <w:tr w:rsidR="00B5358F" w:rsidRPr="004C6E24" w:rsidTr="00B5358F">
              <w:trPr>
                <w:trHeight w:val="386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2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pPr>
                    <w:rPr>
                      <w:lang w:val="en-US"/>
                    </w:rPr>
                  </w:pPr>
                  <w:r>
                    <w:t xml:space="preserve">Фенолфталеин </w:t>
                  </w:r>
                  <w:r>
                    <w:rPr>
                      <w:sz w:val="18"/>
                      <w:szCs w:val="16"/>
                    </w:rPr>
                    <w:t>1 % 50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23 940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665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3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r>
                    <w:t>Фурациллин 0,02 % 400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1 360 000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4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pPr>
                    <w:ind w:left="-1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Азопирам 1% 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Pr="005F1C0D" w:rsidRDefault="00B5358F" w:rsidP="00B5358F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429 480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11925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5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r>
                    <w:t>Вода стерильная 400,0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Pr="005F1C0D" w:rsidRDefault="00B5358F" w:rsidP="00B5358F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312 500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625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6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Р-р Люголя 1% 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10 560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880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7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r>
                    <w:t>Натрия хлорид 0,9 % 400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436 825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174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8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r>
                    <w:t>Натрия хлорид 10 % 200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138 000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915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9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pPr>
                    <w:ind w:left="-108"/>
                  </w:pPr>
                  <w:r>
                    <w:t>Натрия гидрокарбонат 4% 200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67 500 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10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Default="00B5358F" w:rsidP="00B5358F">
                  <w:r>
                    <w:t>Прокаин 0,5 % 200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154 800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645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11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Pr="00F50E33" w:rsidRDefault="00B5358F" w:rsidP="00B5358F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желтый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Pr="007D631E" w:rsidRDefault="00B5358F" w:rsidP="00B5358F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500 000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12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Pr="00F50E33" w:rsidRDefault="00B5358F" w:rsidP="00B5358F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красный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Pr="007D631E" w:rsidRDefault="00B5358F" w:rsidP="00B5358F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200 000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13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Pr="00F50E33" w:rsidRDefault="00B5358F" w:rsidP="00B5358F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зеленый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Pr="007D631E" w:rsidRDefault="00B5358F" w:rsidP="00B5358F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200 000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B5358F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358F" w:rsidRPr="006626B7" w:rsidRDefault="00B5358F" w:rsidP="00B5358F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14</w:t>
                  </w:r>
                </w:p>
              </w:tc>
              <w:tc>
                <w:tcPr>
                  <w:tcW w:w="4962" w:type="dxa"/>
                  <w:vAlign w:val="center"/>
                </w:tcPr>
                <w:p w:rsidR="00B5358F" w:rsidRPr="00F50E33" w:rsidRDefault="00B5358F" w:rsidP="00B5358F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голубой (синий, фиолетовый)</w:t>
                  </w:r>
                </w:p>
              </w:tc>
              <w:tc>
                <w:tcPr>
                  <w:tcW w:w="1134" w:type="dxa"/>
                  <w:vAlign w:val="center"/>
                </w:tcPr>
                <w:p w:rsidR="00B5358F" w:rsidRPr="007D631E" w:rsidRDefault="00B5358F" w:rsidP="00B5358F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B5358F" w:rsidRPr="00221B96" w:rsidRDefault="00B5358F" w:rsidP="00B535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150 000</w:t>
                  </w:r>
                </w:p>
              </w:tc>
              <w:tc>
                <w:tcPr>
                  <w:tcW w:w="4111" w:type="dxa"/>
                </w:tcPr>
                <w:p w:rsidR="00B5358F" w:rsidRPr="008224ED" w:rsidRDefault="00B5358F" w:rsidP="00B535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</w:tbl>
          <w:p w:rsidR="00FA3290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B7FD0">
              <w:rPr>
                <w:rFonts w:ascii="Times New Roman" w:hAnsi="Times New Roman" w:cs="Times New Roman"/>
                <w:spacing w:val="2"/>
              </w:rPr>
              <w:t>В с</w:t>
            </w:r>
            <w:r w:rsidRPr="004C6E24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77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819"/>
              <w:gridCol w:w="1134"/>
              <w:gridCol w:w="1560"/>
              <w:gridCol w:w="2693"/>
              <w:gridCol w:w="1843"/>
              <w:gridCol w:w="2268"/>
            </w:tblGrid>
            <w:tr w:rsidR="001E777B" w:rsidRPr="004C6E24" w:rsidTr="001E777B">
              <w:tc>
                <w:tcPr>
                  <w:tcW w:w="45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4819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Pr="004C6E24">
                    <w:rPr>
                      <w:b/>
                      <w:bCs/>
                      <w:sz w:val="22"/>
                      <w:szCs w:val="22"/>
                    </w:rPr>
                    <w:t>д. изм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60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77B" w:rsidRPr="008224ED" w:rsidRDefault="001E777B" w:rsidP="001E777B">
                  <w:pPr>
                    <w:jc w:val="center"/>
                    <w:rPr>
                      <w:szCs w:val="24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Победитель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tblpX="-1592" w:tblpY="1"/>
              <w:tblOverlap w:val="never"/>
              <w:tblW w:w="1488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825"/>
              <w:gridCol w:w="1134"/>
              <w:gridCol w:w="1559"/>
              <w:gridCol w:w="2693"/>
              <w:gridCol w:w="1770"/>
              <w:gridCol w:w="2341"/>
            </w:tblGrid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r>
                    <w:t xml:space="preserve">Уксусная кислота </w:t>
                  </w:r>
                  <w:r>
                    <w:rPr>
                      <w:sz w:val="18"/>
                      <w:szCs w:val="16"/>
                    </w:rPr>
                    <w:t>3% 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480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5 820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386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2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pPr>
                    <w:rPr>
                      <w:lang w:val="en-US"/>
                    </w:rPr>
                  </w:pPr>
                  <w:r>
                    <w:t xml:space="preserve">Фенолфталеин </w:t>
                  </w:r>
                  <w:r>
                    <w:rPr>
                      <w:sz w:val="18"/>
                      <w:szCs w:val="16"/>
                    </w:rPr>
                    <w:t>1 % 50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665</w:t>
                  </w:r>
                  <w:bookmarkStart w:id="0" w:name="_GoBack"/>
                  <w:bookmarkEnd w:id="0"/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23 940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3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r>
                    <w:t>Фурациллин 0,02 % 400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675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1 360 000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4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pPr>
                    <w:ind w:left="-1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Азопирам 1% 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Pr="005F1C0D" w:rsidRDefault="004F2D42" w:rsidP="004F2D42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11925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429 480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5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r>
                    <w:t>Вода стерильная 400,0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Pr="005F1C0D" w:rsidRDefault="004F2D42" w:rsidP="004F2D42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500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625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312 500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6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Р-р Люголя 1% 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880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10 560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7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r>
                    <w:t>Натрия хлорид 0,9 % 400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2500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174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436 825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8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r>
                    <w:t>Натрия хлорид 10 % 200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915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138 000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9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pPr>
                    <w:ind w:left="-108"/>
                  </w:pPr>
                  <w:r>
                    <w:t>Натрия гидрокарбонат 4% 200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675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67 500 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4F2D42" w:rsidRPr="008224ED" w:rsidTr="00D9338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F2D42" w:rsidRPr="006626B7" w:rsidRDefault="004F2D42" w:rsidP="004F2D42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10</w:t>
                  </w:r>
                </w:p>
              </w:tc>
              <w:tc>
                <w:tcPr>
                  <w:tcW w:w="4825" w:type="dxa"/>
                  <w:vAlign w:val="center"/>
                </w:tcPr>
                <w:p w:rsidR="004F2D42" w:rsidRDefault="004F2D42" w:rsidP="004F2D42">
                  <w:r>
                    <w:t>Прокаин 0,5 % 200 мл</w:t>
                  </w:r>
                </w:p>
              </w:tc>
              <w:tc>
                <w:tcPr>
                  <w:tcW w:w="1134" w:type="dxa"/>
                  <w:vAlign w:val="center"/>
                </w:tcPr>
                <w:p w:rsidR="004F2D42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240</w:t>
                  </w:r>
                </w:p>
              </w:tc>
              <w:tc>
                <w:tcPr>
                  <w:tcW w:w="2693" w:type="dxa"/>
                </w:tcPr>
                <w:p w:rsidR="004F2D42" w:rsidRPr="008224ED" w:rsidRDefault="004F2D42" w:rsidP="004F2D42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645</w:t>
                  </w:r>
                </w:p>
              </w:tc>
              <w:tc>
                <w:tcPr>
                  <w:tcW w:w="1770" w:type="dxa"/>
                  <w:vAlign w:val="center"/>
                </w:tcPr>
                <w:p w:rsidR="004F2D42" w:rsidRPr="00221B96" w:rsidRDefault="004F2D42" w:rsidP="004F2D4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154 800</w:t>
                  </w:r>
                </w:p>
              </w:tc>
              <w:tc>
                <w:tcPr>
                  <w:tcW w:w="2341" w:type="dxa"/>
                </w:tcPr>
                <w:p w:rsidR="004F2D42" w:rsidRPr="00300A44" w:rsidRDefault="004F2D42" w:rsidP="004F2D42">
                  <w:r w:rsidRPr="00300A44">
                    <w:rPr>
                      <w:rFonts w:eastAsia="Times New Roman"/>
                    </w:rPr>
                    <w:t>ТОО «МЕГА-ПЛЮС»</w:t>
                  </w:r>
                </w:p>
              </w:tc>
            </w:tr>
            <w:tr w:rsidR="001E777B" w:rsidRPr="008224ED" w:rsidTr="00300A4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E777B" w:rsidRPr="006626B7" w:rsidRDefault="001E777B" w:rsidP="006626B7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11</w:t>
                  </w:r>
                </w:p>
              </w:tc>
              <w:tc>
                <w:tcPr>
                  <w:tcW w:w="4825" w:type="dxa"/>
                  <w:vAlign w:val="center"/>
                </w:tcPr>
                <w:p w:rsidR="001E777B" w:rsidRPr="00F50E33" w:rsidRDefault="001E777B" w:rsidP="00300A44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желтый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7D631E" w:rsidRDefault="001E777B" w:rsidP="006626B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500 000</w:t>
                  </w:r>
                </w:p>
              </w:tc>
              <w:tc>
                <w:tcPr>
                  <w:tcW w:w="1770" w:type="dxa"/>
                </w:tcPr>
                <w:p w:rsidR="001E777B" w:rsidRPr="008224ED" w:rsidRDefault="001E777B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2341" w:type="dxa"/>
                </w:tcPr>
                <w:p w:rsidR="001E777B" w:rsidRPr="008224ED" w:rsidRDefault="00300A44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1E777B" w:rsidRPr="008224ED" w:rsidTr="00300A4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E777B" w:rsidRPr="006626B7" w:rsidRDefault="001E777B" w:rsidP="006626B7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12</w:t>
                  </w:r>
                </w:p>
              </w:tc>
              <w:tc>
                <w:tcPr>
                  <w:tcW w:w="4825" w:type="dxa"/>
                  <w:vAlign w:val="center"/>
                </w:tcPr>
                <w:p w:rsidR="001E777B" w:rsidRPr="00F50E33" w:rsidRDefault="001E777B" w:rsidP="00300A44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красный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7D631E" w:rsidRDefault="001E777B" w:rsidP="006626B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200 000</w:t>
                  </w:r>
                </w:p>
              </w:tc>
              <w:tc>
                <w:tcPr>
                  <w:tcW w:w="1770" w:type="dxa"/>
                </w:tcPr>
                <w:p w:rsidR="001E777B" w:rsidRPr="008224ED" w:rsidRDefault="001E777B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2341" w:type="dxa"/>
                </w:tcPr>
                <w:p w:rsidR="001E777B" w:rsidRPr="008224ED" w:rsidRDefault="00300A44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1E777B" w:rsidRPr="008224ED" w:rsidTr="00300A4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E777B" w:rsidRPr="006626B7" w:rsidRDefault="001E777B" w:rsidP="006626B7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13</w:t>
                  </w:r>
                </w:p>
              </w:tc>
              <w:tc>
                <w:tcPr>
                  <w:tcW w:w="4825" w:type="dxa"/>
                  <w:vAlign w:val="center"/>
                </w:tcPr>
                <w:p w:rsidR="001E777B" w:rsidRPr="00F50E33" w:rsidRDefault="001E777B" w:rsidP="00300A44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зеленый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7D631E" w:rsidRDefault="001E777B" w:rsidP="006626B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200 000</w:t>
                  </w:r>
                </w:p>
              </w:tc>
              <w:tc>
                <w:tcPr>
                  <w:tcW w:w="1770" w:type="dxa"/>
                </w:tcPr>
                <w:p w:rsidR="001E777B" w:rsidRPr="008224ED" w:rsidRDefault="001E777B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2341" w:type="dxa"/>
                </w:tcPr>
                <w:p w:rsidR="001E777B" w:rsidRPr="008224ED" w:rsidRDefault="00300A44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1E777B" w:rsidRPr="008224ED" w:rsidTr="00300A4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E777B" w:rsidRPr="006626B7" w:rsidRDefault="001E777B" w:rsidP="006626B7">
                  <w:pPr>
                    <w:jc w:val="center"/>
                    <w:rPr>
                      <w:color w:val="000000"/>
                      <w:sz w:val="22"/>
                      <w:szCs w:val="18"/>
                    </w:rPr>
                  </w:pPr>
                  <w:r w:rsidRPr="006626B7">
                    <w:rPr>
                      <w:color w:val="000000"/>
                      <w:sz w:val="22"/>
                      <w:szCs w:val="18"/>
                    </w:rPr>
                    <w:t>14</w:t>
                  </w:r>
                </w:p>
              </w:tc>
              <w:tc>
                <w:tcPr>
                  <w:tcW w:w="4825" w:type="dxa"/>
                  <w:vAlign w:val="center"/>
                </w:tcPr>
                <w:p w:rsidR="001E777B" w:rsidRPr="00F50E33" w:rsidRDefault="001E777B" w:rsidP="00300A44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голубой (синий, фиолетовый)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7D631E" w:rsidRDefault="001E777B" w:rsidP="006626B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221B96" w:rsidRDefault="001E777B" w:rsidP="006626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150 000</w:t>
                  </w:r>
                </w:p>
              </w:tc>
              <w:tc>
                <w:tcPr>
                  <w:tcW w:w="1770" w:type="dxa"/>
                </w:tcPr>
                <w:p w:rsidR="001E777B" w:rsidRPr="008224ED" w:rsidRDefault="001E777B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2341" w:type="dxa"/>
                </w:tcPr>
                <w:p w:rsidR="001E777B" w:rsidRPr="008224ED" w:rsidRDefault="00300A44" w:rsidP="006626B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</w:tbl>
          <w:p w:rsidR="00565B4E" w:rsidRPr="004C6E24" w:rsidRDefault="00565B4E" w:rsidP="003C4E10">
            <w:pPr>
              <w:pStyle w:val="a3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3C4E10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3C4E10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3C4E10" w:rsidRPr="003C4E10">
              <w:rPr>
                <w:rFonts w:ascii="Times New Roman" w:hAnsi="Times New Roman" w:cs="Times New Roman"/>
                <w:color w:val="000000"/>
              </w:rPr>
              <w:t xml:space="preserve">ми предложениями </w:t>
            </w:r>
            <w:r w:rsidR="00C01088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>
              <w:rPr>
                <w:rFonts w:ascii="Times New Roman" w:hAnsi="Times New Roman" w:cs="Times New Roman"/>
                <w:color w:val="000000"/>
              </w:rPr>
              <w:t>и предс</w:t>
            </w:r>
            <w:r w:rsidR="00C01088">
              <w:rPr>
                <w:rFonts w:ascii="Times New Roman" w:eastAsia="Times New Roman" w:hAnsi="Times New Roman" w:cs="Times New Roman"/>
                <w:szCs w:val="24"/>
              </w:rPr>
              <w:t>тавители фрирм.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DD" w:rsidRDefault="00FE1BDD" w:rsidP="00607B70">
      <w:pPr>
        <w:spacing w:after="0" w:line="240" w:lineRule="auto"/>
      </w:pPr>
      <w:r>
        <w:separator/>
      </w:r>
    </w:p>
  </w:endnote>
  <w:endnote w:type="continuationSeparator" w:id="0">
    <w:p w:rsidR="00FE1BDD" w:rsidRDefault="00FE1BDD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DD" w:rsidRDefault="00FE1BDD" w:rsidP="00607B70">
      <w:pPr>
        <w:spacing w:after="0" w:line="240" w:lineRule="auto"/>
      </w:pPr>
      <w:r>
        <w:separator/>
      </w:r>
    </w:p>
  </w:footnote>
  <w:footnote w:type="continuationSeparator" w:id="0">
    <w:p w:rsidR="00FE1BDD" w:rsidRDefault="00FE1BDD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2D42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4FE"/>
    <w:rsid w:val="008845B6"/>
    <w:rsid w:val="00892AAF"/>
    <w:rsid w:val="008943BE"/>
    <w:rsid w:val="00894D43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BDD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EC90-E776-4BB7-AB9B-F2AFE52C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2024-01-16T06:03:00Z</cp:lastPrinted>
  <dcterms:created xsi:type="dcterms:W3CDTF">2022-03-14T06:13:00Z</dcterms:created>
  <dcterms:modified xsi:type="dcterms:W3CDTF">2024-01-16T06:04:00Z</dcterms:modified>
</cp:coreProperties>
</file>